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CAM2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167 x 210 x 275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Wi-Fi</w:t>
      </w:r>
      <w:br/>
      <w:r>
        <w:rPr/>
        <w:t xml:space="preserve">• Variante: anthracite</w:t>
      </w:r>
      <w:br/>
      <w:r>
        <w:rPr/>
        <w:t xml:space="preserve">• UC1, Code EAN: 4007841092603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2,00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2310 lm</w:t>
      </w:r>
      <w:br/>
      <w:r>
        <w:rPr/>
        <w:t xml:space="preserve">• Flux lumineux mesure (360°): 2310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Interphone, Caméra</w:t>
      </w:r>
      <w:br/>
      <w:r>
        <w:rPr/>
        <w:t xml:space="preserve">• Réglage crépusculaire: 10 – 10000 lx</w:t>
      </w:r>
      <w:br/>
      <w:r>
        <w:rPr/>
        <w:t xml:space="preserve">• Temporisation: 60 s – 15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Éclairage principal réglable: 30 - 100 %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via: Wi-Fi</w:t>
      </w:r>
      <w:br/>
      <w:r>
        <w:rPr/>
        <w:t xml:space="preserve">• Fonction balisage en pourcentage: 0 – 40 %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40 %</w:t>
      </w:r>
      <w:br/>
      <w:r>
        <w:rPr/>
        <w:t xml:space="preserve">• Puissance: 21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App: STEINEL CAM App 2</w:t>
      </w:r>
      <w:br/>
      <w:r>
        <w:rPr/>
        <w:t xml:space="preserve">• Voraussetzung für Inbetriebnahme: 2,4 GHz, 5 Ghz, Wi-Fi 4, Wi-Fi 5, Wi-Fi 6, WPA2/ WPA3, &gt; 2 Mbit/s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092603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CAM2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2026-03-24T01:18:40+01:00</dcterms:created>
  <dcterms:modified xsi:type="dcterms:W3CDTF">2026-03-24T01:18:40+01:00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